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9F" w:rsidRPr="00DC209F" w:rsidRDefault="00DC209F" w:rsidP="00DC209F">
      <w:pPr>
        <w:spacing w:after="0" w:line="360" w:lineRule="atLeast"/>
        <w:ind w:hanging="993"/>
        <w:jc w:val="center"/>
        <w:outlineLvl w:val="1"/>
        <w:rPr>
          <w:rFonts w:ascii="Lora" w:eastAsia="Times New Roman" w:hAnsi="Lora" w:cs="Times New Roman"/>
          <w:i/>
          <w:iCs/>
          <w:kern w:val="36"/>
          <w:sz w:val="48"/>
          <w:szCs w:val="48"/>
          <w:lang w:eastAsia="ru-RU"/>
        </w:rPr>
      </w:pPr>
      <w:bookmarkStart w:id="0" w:name="_GoBack"/>
      <w:bookmarkEnd w:id="0"/>
      <w:r w:rsidRPr="00DC209F">
        <w:rPr>
          <w:rFonts w:ascii="Lora" w:eastAsia="Times New Roman" w:hAnsi="Lora" w:cs="Times New Roman"/>
          <w:i/>
          <w:iCs/>
          <w:kern w:val="36"/>
          <w:sz w:val="48"/>
          <w:szCs w:val="48"/>
          <w:lang w:eastAsia="ru-RU"/>
        </w:rPr>
        <w:t>Критерии доступности и качества медицинской помощи 2017-2019 год.</w:t>
      </w:r>
    </w:p>
    <w:p w:rsidR="00DC209F" w:rsidRDefault="00DC209F" w:rsidP="00DC209F">
      <w:pPr>
        <w:spacing w:after="0" w:line="36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Критериями доступности и качества медицинской помощи являются: удовлетворенность населения медицинской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помощью на 2017-2019 годы 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 менее </w:t>
      </w: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66,5 процента, в том числе: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городского населения - не менее 66,5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сельского населения - не менее 66,5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смертность населения от болезней системы кровообращения (число умерших от болезней системы кровообращения на 100 тыс. человек населения) в 2017 году - не более 705,0 случая, в том числе: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городского - не более 709,5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сельского - не более 684,6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смертность населения от болезней системы кровообращения (число умерших от болезней системы кровообращения на 100 тыс. человек населения) в 2018 году - не более 649,4 случая, в 2019 году - 625,5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смертность населения от новообразований, в том числе злокачественных (число умерших от новообразований, в том числе злокачественных, на 100 тыс. человек населения), в 2017 году - не более 201,3 случая, в том числе: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городского - не более 204,7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сельского - не более 194,5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смертность населения от новообразований, в том числе злокачественных (число умерших от новообразований, в том числе злокачественных, на 100 тыс. человек населения), в 2018 году - не более 192,8 случая, в 2019 году - не более 190,0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смертность населения от туберкулеза (случаев на 100 тыс. человек населения) в 2017 году - не более 5,7 случая, в том числе: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городского - не более 5,8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сельского - не более 5,0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смертность населения от туберкулеза (случаев на 100 тыс. человек населения) в 2018 году - не более 5,5 случая, в 2019 году - не более 5,3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смертность населения в трудоспособном возрасте (число умерших в трудоспособном возрасте на 100 тыс. человек населения) на 2017-2019 годы - не более 487,2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населения) на 2017-2019 годы - не более 158,8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доля умерших в трудоспособном возрасте на дому в общем количестве умерших в трудоспособном возрасте на 2017-2019 годы - не более 17,0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материнская смертность (на 100 тыс. родившихся живыми) на 2017-2019 годы - не более 8,7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младенческая смертность (на 1000 родившихся живыми, в том числе в городской и сельской местности) в 2017 году - не более 4,6 случая, в том числе: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городского - не более 4,9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сельского - не более 3,0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младенческая смертность (на 1000 родившихся живыми, в том числе в городской и сельской местности) в 2018 году - не более 4,5 случая, в 2019 году - не более 4,3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доля умерших в возрасте до 1 года на дому в общем количестве умерших в возрасте до 1 года на 2017-2019 годы - не более 5,5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смертность детей в возрасте 0-4 лет (на 100 тыс. человек населения соответствующего возраста) на 2017-2019 годы - не более 140,0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доля умерших в возрасте 0-4 лет на дому в общем количестве умерших в возрасте 0-4 лет на 2017-2019 годы - не более 7,1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смертность детей в возрасте 0-17 лет (на 100 тыс. человек населения соответствующего возраста) в 2017 году - не более 70,0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смертность детей в возрасте 0-17 лет (на 100 тыс. человек населения соответствующего возраста) в 2018 году - не более 69,0 случая, в 2019 году - не более 68,5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доля умерших в возрасте 0-17 лет на дому в общем количестве умерших в возрасте 0-17 лет на 2017-2019 годы - не более 10,1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доля пациентов, больных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учете, на 2017-2019 годы - не менее 55,6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доля впервые выявленных случаев фиброзно-кавернозного туберкулеза в общем количестве случаев туберкулеза в течение года на 2017-2019 годы - не более 2,0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 на 2017-2019 годы - не менее 53,12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доля пациентов с инфарктом миокарда, госпитализированных в первые 6 часов от начала заболевания, в общем количестве госпитализированных пациентов с инфарктом миокарда на 2017-2019 годы - не менее 50,0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доля пациентов с острым инфарктом, которым проведена </w:t>
      </w:r>
      <w:proofErr w:type="spellStart"/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тромболитическая</w:t>
      </w:r>
      <w:proofErr w:type="spellEnd"/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терапия, в общем количестве пациентов с острым инфарктом миокарда на 2017-2019 годы - не менее 26,0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доля пациентов с острым инфарктом миокарда, которым проведено </w:t>
      </w:r>
      <w:proofErr w:type="spellStart"/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стентирование</w:t>
      </w:r>
      <w:proofErr w:type="spellEnd"/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корональных артерий, в общем количестве пациентов с острым инфарктом миокарда на 2017-2019 годы - не менее 25 процентов;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тромболиз</w:t>
      </w:r>
      <w:proofErr w:type="spellEnd"/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,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помощи, на 2017-2019 годы - не менее 15,0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пациентов с острыми цереброваскулярными болезнями на 2017-2019 годы - 35,0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 xml:space="preserve">доля пациентов с острым ишемическим инсультом, которым проведена </w:t>
      </w:r>
      <w:proofErr w:type="spellStart"/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тромболитическая</w:t>
      </w:r>
      <w:proofErr w:type="spellEnd"/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терапия в первые 6 часов госпитализации, в общем количестве пациентов с острым ишемическим инсультом на 2017-2019 годы - не менее 2,1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количество обоснованных жалоб, в том числе на отказ в оказании медицинской помощи, представляемой в рамках Московской областной программы, на 2017-2019 годы - 0,003 на 1000 человек населения;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обеспеченность населения врачами (включая городское и сельское население) на 2017-2019 годы - не менее 32,4 на 10 тыс. человек населения, в том числе оказывающими медицинскую помощь: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в амбулаторных условиях, - не менее 18,3 на 10 тыс. человек населения;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в стационарных условиях, - не менее 10,5 на 10 тыс. человек населения;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обеспеченность населения средним медицинским персоналом (включая городское и сельское население) на 2017-2019 годы - не менее 66,4 на 10 тыс. человек населения, в том числе оказывающим медицинскую помощь: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в амбулаторных условиях, - не менее 32,6 на 10 тыс. человек населения;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в стационарных условиях, - не менее 30,9 на 10 тыс. человек населения;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средняя длительность лечения в медицинских организациях, оказывающих медицинскую помощь в стационарных условиях, в среднем по Московской области на 2017-2019 годы - не более 11,6 дня;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доля расходов на оказание медицинской помощи в условиях дневных стационаров в общих расходах на Московскую областную программу на 2017-2019 годы - не менее 7,4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доля расходов на оказание медицинской помощи в амбулаторных условиях в неотложной форме в общих расходах на Московскую областную программу на 2017-2019 годы - не менее 2,2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полнота охвата профилактическими осмотрами детей на 2017-2019 годы - не менее 93,0 процента, в том числе проживающих: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в городской местности, - не менее 93,0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в сельской местности, - не менее 93,0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Программы ОМС, на 2017-2019 годы - не менее 10,1 процента;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число лиц, проживающих в сельской местности, которым оказана скорая медицинская помощь, на 1000 человек сельского населения на 2017-2019 годы - не более 389,0 случая;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 на 2017-2019 годы - не более 30,0 процента.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Эффективность деятельности медицинских организаций на 2017-2019 годы: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выполнение функции врачебной должности - не менее 3860 посещений, в том числе расположенных: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в городской местности, - не менее 3615 посещений;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в сельской местности, - не менее 3980 посещений;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показатели рационального и целевого использования коечного фонда на 2017-2019 годы: число работы койки в году - не менее 332 дней, в том числе расположенной: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в городской местности, - не менее 331,2 дня;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Trebuchet MS" w:eastAsia="Times New Roman" w:hAnsi="Trebuchet MS" w:cs="Times New Roman"/>
          <w:sz w:val="24"/>
          <w:szCs w:val="24"/>
          <w:lang w:eastAsia="ru-RU"/>
        </w:rPr>
        <w:t>в сельской местности, - не менее 341,0 дня.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DC209F" w:rsidRPr="00DC209F" w:rsidRDefault="00DC209F" w:rsidP="00DC209F">
      <w:pPr>
        <w:spacing w:after="0" w:line="360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C209F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B020CC" w:rsidRDefault="00B020CC"/>
    <w:sectPr w:rsidR="00B020CC" w:rsidSect="00C272A5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ra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9F"/>
    <w:rsid w:val="00B020CC"/>
    <w:rsid w:val="00C272A5"/>
    <w:rsid w:val="00D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DC4EE-A610-473A-8535-128E3B88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76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484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Аэро</dc:creator>
  <cp:keywords/>
  <dc:description/>
  <cp:lastModifiedBy>Аэро</cp:lastModifiedBy>
  <cp:revision>2</cp:revision>
  <cp:lastPrinted>2019-03-14T08:57:00Z</cp:lastPrinted>
  <dcterms:created xsi:type="dcterms:W3CDTF">2019-03-14T08:36:00Z</dcterms:created>
  <dcterms:modified xsi:type="dcterms:W3CDTF">2019-03-14T08:59:00Z</dcterms:modified>
</cp:coreProperties>
</file>